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5CD90" w14:textId="77777777" w:rsidR="00D87DCD" w:rsidRDefault="00D87DCD">
      <w:pPr>
        <w:widowControl/>
      </w:pPr>
      <w:r>
        <w:rPr>
          <w:b/>
          <w:bCs/>
          <w:sz w:val="28"/>
          <w:szCs w:val="28"/>
        </w:rPr>
        <w:t xml:space="preserve">Minnesota </w:t>
      </w:r>
      <w:r w:rsidR="00535AC8">
        <w:rPr>
          <w:b/>
          <w:bCs/>
          <w:sz w:val="28"/>
          <w:szCs w:val="28"/>
        </w:rPr>
        <w:t>Office of the Secretary of State</w:t>
      </w:r>
    </w:p>
    <w:p w14:paraId="5F2BCB0D" w14:textId="77777777" w:rsidR="00D87DCD" w:rsidRDefault="00D87DCD">
      <w:pPr>
        <w:widowControl/>
      </w:pPr>
    </w:p>
    <w:p w14:paraId="2E19A557" w14:textId="77777777" w:rsidR="00D87DCD" w:rsidRDefault="00D87DCD">
      <w:pPr>
        <w:widowControl/>
      </w:pPr>
      <w:r>
        <w:rPr>
          <w:b/>
          <w:bCs/>
        </w:rPr>
        <w:t>REQUEST FOR COMMENTS</w:t>
      </w:r>
    </w:p>
    <w:p w14:paraId="28E8B87F" w14:textId="77777777" w:rsidR="00535AC8" w:rsidRDefault="00535AC8" w:rsidP="00535AC8">
      <w:pPr>
        <w:widowControl/>
      </w:pPr>
    </w:p>
    <w:p w14:paraId="02FABB54" w14:textId="419036A9" w:rsidR="00D87DCD" w:rsidRPr="000E5E5C" w:rsidRDefault="002055CF" w:rsidP="00535AC8">
      <w:pPr>
        <w:widowControl/>
      </w:pPr>
      <w:r>
        <w:rPr>
          <w:b/>
        </w:rPr>
        <w:t>Promulgation of</w:t>
      </w:r>
      <w:r w:rsidR="00DB5D78">
        <w:rPr>
          <w:b/>
        </w:rPr>
        <w:t xml:space="preserve"> </w:t>
      </w:r>
      <w:r w:rsidR="00D87DCD">
        <w:rPr>
          <w:b/>
          <w:bCs/>
        </w:rPr>
        <w:t>Rules Governing</w:t>
      </w:r>
      <w:r w:rsidR="00245179">
        <w:rPr>
          <w:b/>
          <w:bCs/>
        </w:rPr>
        <w:t xml:space="preserve"> Presidential Primary</w:t>
      </w:r>
      <w:r w:rsidR="00D87DCD">
        <w:rPr>
          <w:b/>
          <w:bCs/>
        </w:rPr>
        <w:t xml:space="preserve"> </w:t>
      </w:r>
      <w:r w:rsidR="00DB5D78">
        <w:rPr>
          <w:b/>
          <w:bCs/>
        </w:rPr>
        <w:t>Election Administration</w:t>
      </w:r>
      <w:r w:rsidR="006E3622">
        <w:rPr>
          <w:b/>
          <w:bCs/>
        </w:rPr>
        <w:t xml:space="preserve"> Local Government Expense </w:t>
      </w:r>
      <w:r w:rsidR="00DE1281">
        <w:rPr>
          <w:b/>
          <w:bCs/>
        </w:rPr>
        <w:t>Reimbursement</w:t>
      </w:r>
      <w:r w:rsidR="00DB5D78">
        <w:rPr>
          <w:b/>
          <w:bCs/>
        </w:rPr>
        <w:t xml:space="preserve">, </w:t>
      </w:r>
      <w:r w:rsidR="00DB5D78">
        <w:rPr>
          <w:b/>
          <w:bCs/>
          <w:i/>
        </w:rPr>
        <w:t>Minnesota Rules</w:t>
      </w:r>
      <w:r w:rsidR="00DB5D78">
        <w:rPr>
          <w:b/>
          <w:bCs/>
        </w:rPr>
        <w:t xml:space="preserve">, </w:t>
      </w:r>
      <w:r w:rsidR="00EB6CA9">
        <w:rPr>
          <w:b/>
          <w:bCs/>
        </w:rPr>
        <w:t>8215</w:t>
      </w:r>
      <w:r w:rsidR="00DB5D78">
        <w:rPr>
          <w:b/>
          <w:bCs/>
        </w:rPr>
        <w:t>;</w:t>
      </w:r>
      <w:r w:rsidR="00D87DCD">
        <w:rPr>
          <w:b/>
          <w:bCs/>
        </w:rPr>
        <w:t xml:space="preserve"> </w:t>
      </w:r>
      <w:r w:rsidR="00EC2F53" w:rsidRPr="009714B3">
        <w:rPr>
          <w:b/>
        </w:rPr>
        <w:t xml:space="preserve">Revisor’s ID Number </w:t>
      </w:r>
      <w:r w:rsidR="000E5E5C">
        <w:rPr>
          <w:b/>
        </w:rPr>
        <w:t>R-04620</w:t>
      </w:r>
    </w:p>
    <w:p w14:paraId="67F13B2A" w14:textId="77777777" w:rsidR="00D87DCD" w:rsidRDefault="00D87DCD">
      <w:pPr>
        <w:widowControl/>
      </w:pPr>
    </w:p>
    <w:p w14:paraId="2C779633" w14:textId="77777777" w:rsidR="00506CFC" w:rsidRDefault="00D87DCD" w:rsidP="00571981">
      <w:pPr>
        <w:widowControl/>
        <w:ind w:firstLine="720"/>
      </w:pPr>
      <w:r>
        <w:rPr>
          <w:b/>
          <w:bCs/>
        </w:rPr>
        <w:t>Subject of Rules.</w:t>
      </w:r>
      <w:r>
        <w:t xml:space="preserve"> The Minnesota</w:t>
      </w:r>
      <w:r w:rsidR="00535AC8">
        <w:t xml:space="preserve"> Office of the Secretary of State</w:t>
      </w:r>
      <w:r>
        <w:t xml:space="preserve"> re</w:t>
      </w:r>
      <w:r w:rsidR="002055CF">
        <w:t xml:space="preserve">quests comments on </w:t>
      </w:r>
      <w:r w:rsidR="0010120A">
        <w:t>possible</w:t>
      </w:r>
      <w:r w:rsidR="002055CF">
        <w:t xml:space="preserve"> </w:t>
      </w:r>
      <w:r w:rsidR="00535AC8">
        <w:t>rules governing</w:t>
      </w:r>
      <w:r w:rsidR="006E3622">
        <w:t xml:space="preserve"> the categories of expenses eligible for</w:t>
      </w:r>
      <w:r w:rsidR="00535AC8">
        <w:t xml:space="preserve"> </w:t>
      </w:r>
      <w:r w:rsidR="00EB6CA9">
        <w:t xml:space="preserve">local reimbursement for the Presidential Nomination Primary. </w:t>
      </w:r>
      <w:r>
        <w:t xml:space="preserve">The </w:t>
      </w:r>
      <w:r w:rsidR="00535AC8">
        <w:t xml:space="preserve">Office is considering rules that </w:t>
      </w:r>
      <w:r w:rsidR="00506CFC">
        <w:t xml:space="preserve">may </w:t>
      </w:r>
      <w:r w:rsidR="00535AC8">
        <w:t>prescribe</w:t>
      </w:r>
      <w:r w:rsidR="00EB6CA9">
        <w:t xml:space="preserve"> </w:t>
      </w:r>
      <w:r w:rsidR="006E3622">
        <w:t xml:space="preserve">and expand the </w:t>
      </w:r>
      <w:r w:rsidR="00EB6CA9">
        <w:t xml:space="preserve">categories of expenses that are reimbursable to local jurisdictions administering the Presidential Nomination Primary. </w:t>
      </w:r>
      <w:r w:rsidR="00DB4296">
        <w:t xml:space="preserve"> </w:t>
      </w:r>
    </w:p>
    <w:p w14:paraId="02C9E824" w14:textId="77777777" w:rsidR="00506CFC" w:rsidRDefault="00506CFC">
      <w:pPr>
        <w:widowControl/>
      </w:pPr>
    </w:p>
    <w:p w14:paraId="16DB56BE" w14:textId="77777777" w:rsidR="00D87DCD" w:rsidRDefault="00D87DCD">
      <w:pPr>
        <w:widowControl/>
        <w:ind w:firstLine="720"/>
      </w:pPr>
      <w:r>
        <w:rPr>
          <w:b/>
          <w:bCs/>
        </w:rPr>
        <w:t>Persons Affected.</w:t>
      </w:r>
      <w:r w:rsidR="00506CFC">
        <w:t xml:space="preserve"> The rules</w:t>
      </w:r>
      <w:r w:rsidR="00C233A1">
        <w:t xml:space="preserve"> and possible amendments to rules</w:t>
      </w:r>
      <w:r w:rsidR="00506CFC">
        <w:t xml:space="preserve"> would likely affect voters, local election officials and election staff, </w:t>
      </w:r>
      <w:r w:rsidR="006E3622">
        <w:t xml:space="preserve">and township, city and </w:t>
      </w:r>
      <w:r w:rsidR="00EB6CA9">
        <w:t>county officials.</w:t>
      </w:r>
    </w:p>
    <w:p w14:paraId="779B6A33" w14:textId="77777777" w:rsidR="00D87DCD" w:rsidRDefault="00D87DCD">
      <w:pPr>
        <w:widowControl/>
      </w:pPr>
    </w:p>
    <w:p w14:paraId="204619B2" w14:textId="77777777" w:rsidR="00D87DCD" w:rsidRPr="006E3622" w:rsidRDefault="00D87DCD" w:rsidP="00C233A1">
      <w:pPr>
        <w:widowControl/>
        <w:ind w:firstLine="720"/>
      </w:pPr>
      <w:r>
        <w:rPr>
          <w:b/>
          <w:bCs/>
        </w:rPr>
        <w:t>Statutory Authority.</w:t>
      </w:r>
      <w:r>
        <w:t xml:space="preserve"> </w:t>
      </w:r>
      <w:r>
        <w:rPr>
          <w:i/>
          <w:iCs/>
        </w:rPr>
        <w:t>Minnesota Statutes</w:t>
      </w:r>
      <w:r>
        <w:t xml:space="preserve">, section </w:t>
      </w:r>
      <w:r w:rsidR="00506CFC">
        <w:t xml:space="preserve">207A.11, Laws 2016, chapter 162, section 9, requires the Office of the Secretary of State to adopt rules to implement the provisions of </w:t>
      </w:r>
      <w:r w:rsidR="00506CFC">
        <w:rPr>
          <w:i/>
        </w:rPr>
        <w:t xml:space="preserve">Minnesota Statutes, </w:t>
      </w:r>
      <w:r w:rsidR="00506CFC">
        <w:t>chapter 207</w:t>
      </w:r>
      <w:r w:rsidR="00722A03">
        <w:t>A</w:t>
      </w:r>
      <w:r w:rsidR="00506CFC">
        <w:t xml:space="preserve">, </w:t>
      </w:r>
      <w:r w:rsidR="00DE0964">
        <w:t>establishing a presidential primary election in Minnesota</w:t>
      </w:r>
      <w:r>
        <w:t>.</w:t>
      </w:r>
      <w:r w:rsidR="00C233A1">
        <w:t xml:space="preserve"> </w:t>
      </w:r>
      <w:r w:rsidR="006E3622">
        <w:rPr>
          <w:i/>
        </w:rPr>
        <w:t xml:space="preserve">Minnesota Statutes, </w:t>
      </w:r>
      <w:r w:rsidR="006E3622">
        <w:t>section 207A.15, subd. 2, as amended by Laws 2019, 1</w:t>
      </w:r>
      <w:r w:rsidR="006E3622" w:rsidRPr="00DE1281">
        <w:rPr>
          <w:vertAlign w:val="superscript"/>
        </w:rPr>
        <w:t>st</w:t>
      </w:r>
      <w:r w:rsidR="006E3622">
        <w:t xml:space="preserve"> spec. sess.</w:t>
      </w:r>
      <w:r w:rsidR="00722A03">
        <w:t>,</w:t>
      </w:r>
      <w:r w:rsidR="006E3622">
        <w:t xml:space="preserve"> chap. 10, article 4, section 8, </w:t>
      </w:r>
      <w:r w:rsidR="00722A03">
        <w:t>broadened</w:t>
      </w:r>
      <w:r w:rsidR="006E3622">
        <w:t xml:space="preserve"> the categories of reimbursable local expenses to provide the Secretary of State with discretion to approve additional expenses eligible for local </w:t>
      </w:r>
      <w:r w:rsidR="00DE1281">
        <w:t>reimbursement</w:t>
      </w:r>
      <w:r w:rsidR="006E3622">
        <w:t>.</w:t>
      </w:r>
    </w:p>
    <w:p w14:paraId="3C547C2F" w14:textId="77777777" w:rsidR="00D87DCD" w:rsidRDefault="00D87DCD">
      <w:pPr>
        <w:widowControl/>
      </w:pPr>
    </w:p>
    <w:p w14:paraId="102CEB99" w14:textId="77777777" w:rsidR="00C40C88" w:rsidRDefault="00D87DCD">
      <w:pPr>
        <w:widowControl/>
        <w:ind w:firstLine="720"/>
      </w:pPr>
      <w:r>
        <w:rPr>
          <w:b/>
          <w:bCs/>
        </w:rPr>
        <w:t>Public Comment.</w:t>
      </w:r>
      <w:r>
        <w:t xml:space="preserve"> </w:t>
      </w:r>
      <w:r w:rsidR="00C40C88">
        <w:t xml:space="preserve">Interested persons or groups may submit comments or information on these possible rules in writing until </w:t>
      </w:r>
      <w:r w:rsidR="00C233A1">
        <w:t>4:30 p.m. on</w:t>
      </w:r>
      <w:r w:rsidR="00EB6CA9">
        <w:t xml:space="preserve"> October 4, 2019</w:t>
      </w:r>
      <w:r w:rsidR="00C233A1">
        <w:t xml:space="preserve">.  </w:t>
      </w:r>
      <w:r w:rsidR="00C40C88" w:rsidRPr="00601194">
        <w:t>The Office of the Secretary of State also requests comments about the “cumulative</w:t>
      </w:r>
      <w:r w:rsidR="00C40C88">
        <w:t xml:space="preserve"> effect of the rule with other federal and state regulations,” as required by </w:t>
      </w:r>
      <w:r w:rsidR="00C40C88" w:rsidRPr="00E00678">
        <w:rPr>
          <w:i/>
        </w:rPr>
        <w:t>Minnesota Statutes</w:t>
      </w:r>
      <w:r w:rsidR="00C40C88">
        <w:t>, section 14.131(8)</w:t>
      </w:r>
      <w:r w:rsidR="00C233A1">
        <w:t xml:space="preserve">, and whether the cost of complying with the rule in the first year after the rule takes effect will exceed $25,000 for one small city or business, as required by </w:t>
      </w:r>
      <w:r w:rsidR="00C233A1" w:rsidRPr="00C233A1">
        <w:rPr>
          <w:i/>
        </w:rPr>
        <w:t>Minnesota Statutes</w:t>
      </w:r>
      <w:r w:rsidR="00C233A1">
        <w:t>, section 14.127.</w:t>
      </w:r>
    </w:p>
    <w:p w14:paraId="2656FBDD" w14:textId="77777777" w:rsidR="00D87DCD" w:rsidRDefault="00D87DCD">
      <w:pPr>
        <w:widowControl/>
      </w:pPr>
    </w:p>
    <w:p w14:paraId="7209185C" w14:textId="77777777" w:rsidR="00D87DCD" w:rsidRDefault="00D87DCD">
      <w:pPr>
        <w:widowControl/>
        <w:ind w:firstLine="720"/>
      </w:pPr>
      <w:r>
        <w:rPr>
          <w:b/>
          <w:bCs/>
        </w:rPr>
        <w:t>Rules Drafts.</w:t>
      </w:r>
      <w:r>
        <w:t xml:space="preserve"> </w:t>
      </w:r>
      <w:r w:rsidR="00C40C88">
        <w:t xml:space="preserve">The Office of the Secretary of State has not yet drafted the possible rules </w:t>
      </w:r>
      <w:r w:rsidR="00991112">
        <w:t xml:space="preserve">and rule amendments, </w:t>
      </w:r>
      <w:r w:rsidR="00C40C88">
        <w:t xml:space="preserve">and is seeking feedback on the goals and objectives that should inform the drafting of these rules </w:t>
      </w:r>
      <w:r w:rsidR="00991112">
        <w:t xml:space="preserve">and rule amendments </w:t>
      </w:r>
      <w:r w:rsidR="00C40C88">
        <w:t xml:space="preserve">from interested persons and stakeholders. The Office of the Secretary of State </w:t>
      </w:r>
      <w:r>
        <w:t>does not anticipate that a draft of the rules will be available before the publica</w:t>
      </w:r>
      <w:r w:rsidR="00C40C88">
        <w:t>tion of the proposed rules</w:t>
      </w:r>
      <w:r>
        <w:t>.</w:t>
      </w:r>
    </w:p>
    <w:p w14:paraId="61F881C6" w14:textId="77777777" w:rsidR="00D87DCD" w:rsidRDefault="00D87DCD">
      <w:pPr>
        <w:widowControl/>
      </w:pPr>
    </w:p>
    <w:p w14:paraId="1597689E" w14:textId="77777777" w:rsidR="00D87DCD" w:rsidRDefault="00D87DCD" w:rsidP="00C40C88">
      <w:pPr>
        <w:widowControl/>
        <w:ind w:firstLine="720"/>
      </w:pPr>
      <w:r>
        <w:rPr>
          <w:b/>
          <w:bCs/>
        </w:rPr>
        <w:t>Agency Contact Person.</w:t>
      </w:r>
      <w:r>
        <w:t xml:space="preserve"> </w:t>
      </w:r>
      <w:r w:rsidR="00C40C88">
        <w:t xml:space="preserve">Written comments, questions, and requests for more information on these possible rules should be directed to: </w:t>
      </w:r>
      <w:r w:rsidR="009B0380">
        <w:t>Samm Bonawitz</w:t>
      </w:r>
      <w:r w:rsidR="00C40C88">
        <w:t>, Government Relations Director at the Office of the Secretary of State, 180 State Office Building, 100 Rev. Dr. Martin Luther King Jr. Blvd., Saint Paul, MN 55155; Phone 651-201-13</w:t>
      </w:r>
      <w:r w:rsidR="009B0380">
        <w:t>34</w:t>
      </w:r>
      <w:r w:rsidR="00C40C88">
        <w:t xml:space="preserve">; Fax 651-296-3073; Email </w:t>
      </w:r>
      <w:hyperlink r:id="rId7" w:history="1">
        <w:r w:rsidR="009B0380" w:rsidRPr="007642E0">
          <w:rPr>
            <w:rStyle w:val="Hyperlink"/>
          </w:rPr>
          <w:t>samm.bonawitz@state.mn.us</w:t>
        </w:r>
      </w:hyperlink>
      <w:r w:rsidR="009B0380">
        <w:t xml:space="preserve"> </w:t>
      </w:r>
      <w:r w:rsidR="00C40C88">
        <w:t xml:space="preserve"> TTY users may call the Office of Secretary of State at 711.</w:t>
      </w:r>
    </w:p>
    <w:p w14:paraId="6C952726" w14:textId="77777777" w:rsidR="00D87DCD" w:rsidRDefault="00D87DCD">
      <w:pPr>
        <w:widowControl/>
      </w:pPr>
    </w:p>
    <w:p w14:paraId="310BCE06" w14:textId="77777777" w:rsidR="00D87DCD" w:rsidRDefault="00D87DCD">
      <w:pPr>
        <w:widowControl/>
        <w:ind w:firstLine="720"/>
      </w:pPr>
      <w:r>
        <w:rPr>
          <w:b/>
          <w:bCs/>
        </w:rPr>
        <w:t>Alternative Format.</w:t>
      </w:r>
      <w:r>
        <w:t xml:space="preserve"> Upon request, this information can be made available in an alternative format, such as large print, braille, or audio. To make such a request, please contact the agency contact person at the address or telephone number listed above.</w:t>
      </w:r>
    </w:p>
    <w:p w14:paraId="2CEB8157" w14:textId="77777777" w:rsidR="00C40C88" w:rsidRDefault="00C40C88">
      <w:pPr>
        <w:widowControl/>
        <w:ind w:firstLine="720"/>
        <w:rPr>
          <w:b/>
          <w:bCs/>
        </w:rPr>
      </w:pPr>
    </w:p>
    <w:p w14:paraId="61CDB32E" w14:textId="77777777" w:rsidR="00D87DCD" w:rsidRDefault="00D87DCD">
      <w:pPr>
        <w:widowControl/>
        <w:ind w:firstLine="720"/>
      </w:pPr>
      <w:r>
        <w:rPr>
          <w:b/>
          <w:bCs/>
        </w:rPr>
        <w:lastRenderedPageBreak/>
        <w:t>NOTE:</w:t>
      </w:r>
      <w:r>
        <w:t xml:space="preserve"> Comments received in response to this notice will not necessarily be included in the formal rulemaking record submitted to the administrative law judge if and when a proceeding to adopt rules is started. The agency is required to submit to the judge only those written comments received in response to the rules after they are proposed. If you submitted comments during the development of the rules and you want to ensure that the Administrative Law Judge reviews the comments, you should resubmit the comments after the rules are formally proposed.</w:t>
      </w:r>
    </w:p>
    <w:p w14:paraId="2B5FDDFA" w14:textId="77777777" w:rsidR="00D87DCD" w:rsidRDefault="00D87DCD">
      <w:pPr>
        <w:widowControl/>
      </w:pPr>
    </w:p>
    <w:p w14:paraId="17D399BD" w14:textId="77777777" w:rsidR="00D87DCD" w:rsidRDefault="00D87DCD" w:rsidP="00991112">
      <w:pPr>
        <w:widowControl/>
      </w:pPr>
      <w:r>
        <w:t xml:space="preserve">Dated: </w:t>
      </w:r>
      <w:r w:rsidR="00FF29EC">
        <w:t xml:space="preserve">July </w:t>
      </w:r>
      <w:r w:rsidR="009B0380">
        <w:t>29</w:t>
      </w:r>
      <w:r w:rsidR="00FF29EC">
        <w:t>, 201</w:t>
      </w:r>
      <w:r w:rsidR="009B0380">
        <w:t>9</w:t>
      </w:r>
      <w:r>
        <w:tab/>
      </w:r>
      <w:r>
        <w:tab/>
      </w:r>
      <w:r>
        <w:tab/>
      </w:r>
      <w:r w:rsidR="008A07F3">
        <w:tab/>
      </w:r>
      <w:r w:rsidR="00991112">
        <w:t>Steve Simon</w:t>
      </w:r>
    </w:p>
    <w:p w14:paraId="2BBD99F0" w14:textId="77777777" w:rsidR="00991112" w:rsidRDefault="00991112" w:rsidP="00991112">
      <w:pPr>
        <w:widowControl/>
      </w:pPr>
      <w:r>
        <w:tab/>
      </w:r>
      <w:r>
        <w:tab/>
      </w:r>
      <w:r>
        <w:tab/>
      </w:r>
      <w:r>
        <w:tab/>
      </w:r>
      <w:r>
        <w:tab/>
      </w:r>
      <w:r>
        <w:tab/>
        <w:t>Secretary of State</w:t>
      </w:r>
    </w:p>
    <w:p w14:paraId="23C76175" w14:textId="77777777" w:rsidR="00D87DCD" w:rsidRDefault="00D87DCD">
      <w:pPr>
        <w:widowControl/>
      </w:pPr>
      <w:bookmarkStart w:id="0" w:name="_GoBack"/>
      <w:bookmarkEnd w:id="0"/>
    </w:p>
    <w:p w14:paraId="32F2941B" w14:textId="77777777" w:rsidR="00D87DCD" w:rsidRDefault="00D87DCD" w:rsidP="006B1570">
      <w:pPr>
        <w:widowControl/>
        <w:tabs>
          <w:tab w:val="left" w:pos="-1440"/>
        </w:tabs>
        <w:ind w:left="720" w:hanging="720"/>
      </w:pPr>
      <w:r>
        <w:tab/>
      </w:r>
    </w:p>
    <w:sectPr w:rsidR="00D87DCD" w:rsidSect="00A227AA">
      <w:type w:val="continuous"/>
      <w:pgSz w:w="12240" w:h="15840"/>
      <w:pgMar w:top="1440" w:right="1440" w:bottom="864" w:left="1440" w:header="1440"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A5F78" w14:textId="77777777" w:rsidR="00137FA7" w:rsidRDefault="00137FA7">
      <w:r>
        <w:separator/>
      </w:r>
    </w:p>
  </w:endnote>
  <w:endnote w:type="continuationSeparator" w:id="0">
    <w:p w14:paraId="40055E6F" w14:textId="77777777" w:rsidR="00137FA7" w:rsidRDefault="0013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4441A" w14:textId="77777777" w:rsidR="00137FA7" w:rsidRDefault="00137FA7">
      <w:r>
        <w:separator/>
      </w:r>
    </w:p>
  </w:footnote>
  <w:footnote w:type="continuationSeparator" w:id="0">
    <w:p w14:paraId="646E40D8" w14:textId="77777777" w:rsidR="00137FA7" w:rsidRDefault="00137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15336"/>
    <w:multiLevelType w:val="hybridMultilevel"/>
    <w:tmpl w:val="198EA7A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7AA"/>
    <w:rsid w:val="000135F6"/>
    <w:rsid w:val="000A6F56"/>
    <w:rsid w:val="000E5E5C"/>
    <w:rsid w:val="0010120A"/>
    <w:rsid w:val="00105379"/>
    <w:rsid w:val="00134057"/>
    <w:rsid w:val="00137FA7"/>
    <w:rsid w:val="001E525B"/>
    <w:rsid w:val="002055CF"/>
    <w:rsid w:val="0021464D"/>
    <w:rsid w:val="00245179"/>
    <w:rsid w:val="00266D90"/>
    <w:rsid w:val="002C2102"/>
    <w:rsid w:val="00330CFB"/>
    <w:rsid w:val="00357FE8"/>
    <w:rsid w:val="00396799"/>
    <w:rsid w:val="003975D2"/>
    <w:rsid w:val="003E43C6"/>
    <w:rsid w:val="00401847"/>
    <w:rsid w:val="004159B7"/>
    <w:rsid w:val="004E6524"/>
    <w:rsid w:val="00506CFC"/>
    <w:rsid w:val="00513D61"/>
    <w:rsid w:val="00535AC8"/>
    <w:rsid w:val="00571981"/>
    <w:rsid w:val="00571B09"/>
    <w:rsid w:val="00583B0B"/>
    <w:rsid w:val="00606156"/>
    <w:rsid w:val="006B1570"/>
    <w:rsid w:val="006E3622"/>
    <w:rsid w:val="00722A03"/>
    <w:rsid w:val="00743E86"/>
    <w:rsid w:val="00744531"/>
    <w:rsid w:val="00813C86"/>
    <w:rsid w:val="00842AA9"/>
    <w:rsid w:val="008A07F3"/>
    <w:rsid w:val="0090055D"/>
    <w:rsid w:val="0091060C"/>
    <w:rsid w:val="00935A6D"/>
    <w:rsid w:val="00940773"/>
    <w:rsid w:val="009503FF"/>
    <w:rsid w:val="00991112"/>
    <w:rsid w:val="009B0380"/>
    <w:rsid w:val="00A227AA"/>
    <w:rsid w:val="00A909C6"/>
    <w:rsid w:val="00AC0F8D"/>
    <w:rsid w:val="00B03BA7"/>
    <w:rsid w:val="00B63B3A"/>
    <w:rsid w:val="00BA7F2A"/>
    <w:rsid w:val="00BC2D2C"/>
    <w:rsid w:val="00BE79A6"/>
    <w:rsid w:val="00C233A1"/>
    <w:rsid w:val="00C40C88"/>
    <w:rsid w:val="00C802EC"/>
    <w:rsid w:val="00C936C2"/>
    <w:rsid w:val="00CA21BF"/>
    <w:rsid w:val="00CC6D21"/>
    <w:rsid w:val="00CF4BCD"/>
    <w:rsid w:val="00D31CB0"/>
    <w:rsid w:val="00D352AF"/>
    <w:rsid w:val="00D57D47"/>
    <w:rsid w:val="00D87DCD"/>
    <w:rsid w:val="00DB4296"/>
    <w:rsid w:val="00DB5D78"/>
    <w:rsid w:val="00DB6594"/>
    <w:rsid w:val="00DE0964"/>
    <w:rsid w:val="00DE1281"/>
    <w:rsid w:val="00DF1B31"/>
    <w:rsid w:val="00EB6CA9"/>
    <w:rsid w:val="00EC2F53"/>
    <w:rsid w:val="00EC5B61"/>
    <w:rsid w:val="00F24CBC"/>
    <w:rsid w:val="00F40D66"/>
    <w:rsid w:val="00F41E38"/>
    <w:rsid w:val="00F97C6A"/>
    <w:rsid w:val="00FE2224"/>
    <w:rsid w:val="00FF2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8AE6310"/>
  <w14:defaultImageDpi w14:val="0"/>
  <w15:docId w15:val="{5CE14064-67EC-4FB9-8072-38557E326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lang w:eastAsia="ja-JP"/>
    </w:rPr>
  </w:style>
  <w:style w:type="paragraph" w:styleId="Heading1">
    <w:name w:val="heading 1"/>
    <w:basedOn w:val="Normal"/>
    <w:next w:val="Normal"/>
    <w:link w:val="Heading1Char"/>
    <w:uiPriority w:val="9"/>
    <w:qFormat/>
    <w:rsid w:val="0040184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832"/>
    <w:rPr>
      <w:rFonts w:asciiTheme="majorHAnsi" w:eastAsiaTheme="majorEastAsia" w:hAnsiTheme="majorHAnsi" w:cstheme="majorBidi"/>
      <w:b/>
      <w:bCs/>
      <w:kern w:val="32"/>
      <w:sz w:val="32"/>
      <w:szCs w:val="32"/>
      <w:lang w:eastAsia="ja-JP"/>
    </w:rPr>
  </w:style>
  <w:style w:type="character" w:styleId="FootnoteReference">
    <w:name w:val="footnote reference"/>
    <w:basedOn w:val="DefaultParagraphFont"/>
    <w:uiPriority w:val="99"/>
    <w:semiHidden/>
  </w:style>
  <w:style w:type="paragraph" w:styleId="Header">
    <w:name w:val="header"/>
    <w:basedOn w:val="Normal"/>
    <w:link w:val="HeaderChar"/>
    <w:uiPriority w:val="99"/>
    <w:rsid w:val="00583B0B"/>
    <w:pPr>
      <w:tabs>
        <w:tab w:val="center" w:pos="4320"/>
        <w:tab w:val="right" w:pos="8640"/>
      </w:tabs>
    </w:pPr>
  </w:style>
  <w:style w:type="character" w:customStyle="1" w:styleId="HeaderChar">
    <w:name w:val="Header Char"/>
    <w:basedOn w:val="DefaultParagraphFont"/>
    <w:link w:val="Header"/>
    <w:uiPriority w:val="99"/>
    <w:semiHidden/>
    <w:rsid w:val="00AE6832"/>
    <w:rPr>
      <w:sz w:val="24"/>
      <w:szCs w:val="24"/>
      <w:lang w:eastAsia="ja-JP"/>
    </w:rPr>
  </w:style>
  <w:style w:type="paragraph" w:styleId="Footer">
    <w:name w:val="footer"/>
    <w:basedOn w:val="Normal"/>
    <w:link w:val="FooterChar"/>
    <w:uiPriority w:val="99"/>
    <w:rsid w:val="00583B0B"/>
    <w:pPr>
      <w:tabs>
        <w:tab w:val="center" w:pos="4320"/>
        <w:tab w:val="right" w:pos="8640"/>
      </w:tabs>
    </w:pPr>
  </w:style>
  <w:style w:type="character" w:customStyle="1" w:styleId="FooterChar">
    <w:name w:val="Footer Char"/>
    <w:basedOn w:val="DefaultParagraphFont"/>
    <w:link w:val="Footer"/>
    <w:uiPriority w:val="99"/>
    <w:semiHidden/>
    <w:rsid w:val="00AE6832"/>
    <w:rPr>
      <w:sz w:val="24"/>
      <w:szCs w:val="24"/>
      <w:lang w:eastAsia="ja-JP"/>
    </w:rPr>
  </w:style>
  <w:style w:type="paragraph" w:styleId="ListParagraph">
    <w:name w:val="List Paragraph"/>
    <w:basedOn w:val="Normal"/>
    <w:uiPriority w:val="34"/>
    <w:qFormat/>
    <w:rsid w:val="00535AC8"/>
    <w:pPr>
      <w:ind w:left="720"/>
      <w:contextualSpacing/>
    </w:pPr>
  </w:style>
  <w:style w:type="character" w:styleId="Hyperlink">
    <w:name w:val="Hyperlink"/>
    <w:basedOn w:val="DefaultParagraphFont"/>
    <w:unhideWhenUsed/>
    <w:rsid w:val="00C40C88"/>
    <w:rPr>
      <w:color w:val="0000FF" w:themeColor="hyperlink"/>
      <w:u w:val="single"/>
    </w:rPr>
  </w:style>
  <w:style w:type="paragraph" w:styleId="BalloonText">
    <w:name w:val="Balloon Text"/>
    <w:basedOn w:val="Normal"/>
    <w:link w:val="BalloonTextChar"/>
    <w:semiHidden/>
    <w:unhideWhenUsed/>
    <w:rsid w:val="00DE0964"/>
    <w:rPr>
      <w:rFonts w:ascii="Segoe UI" w:hAnsi="Segoe UI" w:cs="Segoe UI"/>
      <w:sz w:val="18"/>
      <w:szCs w:val="18"/>
    </w:rPr>
  </w:style>
  <w:style w:type="character" w:customStyle="1" w:styleId="BalloonTextChar">
    <w:name w:val="Balloon Text Char"/>
    <w:basedOn w:val="DefaultParagraphFont"/>
    <w:link w:val="BalloonText"/>
    <w:semiHidden/>
    <w:rsid w:val="00DE0964"/>
    <w:rPr>
      <w:rFonts w:ascii="Segoe UI" w:hAnsi="Segoe UI" w:cs="Segoe UI"/>
      <w:sz w:val="18"/>
      <w:szCs w:val="18"/>
      <w:lang w:eastAsia="ja-JP"/>
    </w:rPr>
  </w:style>
  <w:style w:type="character" w:styleId="CommentReference">
    <w:name w:val="annotation reference"/>
    <w:basedOn w:val="DefaultParagraphFont"/>
    <w:semiHidden/>
    <w:unhideWhenUsed/>
    <w:rsid w:val="00744531"/>
    <w:rPr>
      <w:sz w:val="16"/>
      <w:szCs w:val="16"/>
    </w:rPr>
  </w:style>
  <w:style w:type="paragraph" w:styleId="CommentText">
    <w:name w:val="annotation text"/>
    <w:basedOn w:val="Normal"/>
    <w:link w:val="CommentTextChar"/>
    <w:semiHidden/>
    <w:unhideWhenUsed/>
    <w:rsid w:val="00744531"/>
    <w:rPr>
      <w:sz w:val="20"/>
      <w:szCs w:val="20"/>
    </w:rPr>
  </w:style>
  <w:style w:type="character" w:customStyle="1" w:styleId="CommentTextChar">
    <w:name w:val="Comment Text Char"/>
    <w:basedOn w:val="DefaultParagraphFont"/>
    <w:link w:val="CommentText"/>
    <w:semiHidden/>
    <w:rsid w:val="00744531"/>
    <w:rPr>
      <w:lang w:eastAsia="ja-JP"/>
    </w:rPr>
  </w:style>
  <w:style w:type="paragraph" w:styleId="CommentSubject">
    <w:name w:val="annotation subject"/>
    <w:basedOn w:val="CommentText"/>
    <w:next w:val="CommentText"/>
    <w:link w:val="CommentSubjectChar"/>
    <w:semiHidden/>
    <w:unhideWhenUsed/>
    <w:rsid w:val="00744531"/>
    <w:rPr>
      <w:b/>
      <w:bCs/>
    </w:rPr>
  </w:style>
  <w:style w:type="character" w:customStyle="1" w:styleId="CommentSubjectChar">
    <w:name w:val="Comment Subject Char"/>
    <w:basedOn w:val="CommentTextChar"/>
    <w:link w:val="CommentSubject"/>
    <w:semiHidden/>
    <w:rsid w:val="00744531"/>
    <w:rPr>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624659">
      <w:bodyDiv w:val="1"/>
      <w:marLeft w:val="0"/>
      <w:marRight w:val="0"/>
      <w:marTop w:val="0"/>
      <w:marBottom w:val="0"/>
      <w:divBdr>
        <w:top w:val="none" w:sz="0" w:space="0" w:color="auto"/>
        <w:left w:val="none" w:sz="0" w:space="0" w:color="auto"/>
        <w:bottom w:val="none" w:sz="0" w:space="0" w:color="auto"/>
        <w:right w:val="none" w:sz="0" w:space="0" w:color="auto"/>
      </w:divBdr>
    </w:div>
    <w:div w:id="136394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mm.bonawitz@state.mn.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3149</Characters>
  <Application>Microsoft Office Word</Application>
  <DocSecurity>0</DocSecurity>
  <Lines>60</Lines>
  <Paragraphs>15</Paragraphs>
  <ScaleCrop>false</ScaleCrop>
  <HeadingPairs>
    <vt:vector size="2" baseType="variant">
      <vt:variant>
        <vt:lpstr>Title</vt:lpstr>
      </vt:variant>
      <vt:variant>
        <vt:i4>1</vt:i4>
      </vt:variant>
    </vt:vector>
  </HeadingPairs>
  <TitlesOfParts>
    <vt:vector size="1" baseType="lpstr">
      <vt:lpstr>Minnesota Rulemaking Manual Form for Request for Comments</vt:lpstr>
    </vt:vector>
  </TitlesOfParts>
  <Company>Minnesota Department of Health</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Rulemaking Manual Form for Request for Comments</dc:title>
  <dc:subject>Manual for practitioners</dc:subject>
  <dc:creator>MDH</dc:creator>
  <cp:lastModifiedBy>Bonawitz, Samm (OSS)</cp:lastModifiedBy>
  <cp:revision>2</cp:revision>
  <cp:lastPrinted>2017-07-10T18:02:00Z</cp:lastPrinted>
  <dcterms:created xsi:type="dcterms:W3CDTF">2019-07-29T20:36:00Z</dcterms:created>
  <dcterms:modified xsi:type="dcterms:W3CDTF">2019-07-29T20:36:00Z</dcterms:modified>
</cp:coreProperties>
</file>